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Gagnef kommunfullmäktige</w:t>
      </w:r>
    </w:p>
    <w:p>
      <w:pPr>
        <w:pStyle w:val="Heading1"/>
      </w:pPr>
      <w:r>
        <w:t xml:space="preserve">Stärkt skolbibliotek och läsning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Gagnef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Läsförståelsen i Gagnefs skolor ligger under snittet (PIRLS 2021). Skolbiblioteken är underutnyttjade.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Gagnef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en skolbibliotekarie på heltid.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garantera minst en biblioteksvisning per klass och termin.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läsutmaningar med priser i årskurs 4–6.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folkbiblioteket om läsfrämjande.</w:t>
      </w:r>
    </w:p>
    <w:p>
      <w:pPr>
        <w:spacing w:before="360"/>
      </w:pPr>
    </w:p>
    <w:p>
      <w:r>
        <w:t xml:space="preserve">Gagnef,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Gagnef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2026-07-14T03:01:09.317Z</dcterms:created>
  <dcterms:modified xsi:type="dcterms:W3CDTF">2026-07-14T03:01:09.317Z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